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AF1DEB" w:rsidP="00C05A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3.75pt;height:98.25pt;visibility:visible">
            <v:imagedata r:id="rId9" o:title=""/>
          </v:shape>
        </w:pict>
      </w:r>
    </w:p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E122E5" w:rsidP="00C05A96">
      <w:pPr>
        <w:pStyle w:val="Nzev"/>
      </w:pPr>
      <w:r>
        <w:t>„</w:t>
      </w:r>
      <w:r w:rsidR="000213C6">
        <w:t>Vybavení fyzikální laboratoře</w:t>
      </w:r>
      <w:r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anchor="_Toc327795731" w:history="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6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7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8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9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0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1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AF1DEB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680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485 100 063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www.pslib.cz</w:t>
            </w:r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Ředitel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F1DEB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Mgr. Jan Šimůnek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Zástupce ředitele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F1DEB" w:rsidP="00C05A96">
            <w:hyperlink r:id="rId11" w:history="1">
              <w:r w:rsidR="008A070F" w:rsidRPr="00CC272B">
                <w:rPr>
                  <w:rStyle w:val="Hypertextovodkaz"/>
                </w:rPr>
                <w:t>Jan.simunek@pslib.cz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E122E5" w:rsidRDefault="00E122E5" w:rsidP="00345848">
      <w:pPr>
        <w:snapToGrid w:val="0"/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zakázky je dodávka </w:t>
      </w:r>
      <w:r w:rsidR="008A070F">
        <w:rPr>
          <w:szCs w:val="20"/>
        </w:rPr>
        <w:t xml:space="preserve">vybavení do fyzikální laboratoře </w:t>
      </w:r>
      <w:r>
        <w:t>souvisejícího s</w:t>
      </w:r>
      <w:r w:rsidR="008A070F">
        <w:t> </w:t>
      </w:r>
      <w:r>
        <w:t>dosažením výstupů projektu Podpora přírodovědného a technického vzdělávání v Libereckém kraji (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CZ.1.07/1.1.00/44.0013) realizovaného v rámci Operačního programu Vzdělávání pro konkurenceschopnost.</w:t>
      </w:r>
    </w:p>
    <w:p w:rsidR="00E122E5" w:rsidRDefault="00E122E5" w:rsidP="00345848"/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E122E5" w:rsidRDefault="00E122E5" w:rsidP="00345848">
      <w:r w:rsidRPr="001951C0">
        <w:t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</w:p>
    <w:p w:rsidR="00E122E5" w:rsidRPr="00722C46" w:rsidRDefault="00E122E5" w:rsidP="00345848">
      <w:pPr>
        <w:rPr>
          <w:color w:val="00000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8"/>
        <w:gridCol w:w="5954"/>
        <w:gridCol w:w="1275"/>
      </w:tblGrid>
      <w:tr w:rsidR="00E122E5" w:rsidRPr="0005147F" w:rsidTr="008A070F">
        <w:trPr>
          <w:trHeight w:val="123"/>
        </w:trPr>
        <w:tc>
          <w:tcPr>
            <w:tcW w:w="1858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Položka</w:t>
            </w:r>
          </w:p>
        </w:tc>
        <w:tc>
          <w:tcPr>
            <w:tcW w:w="5954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Minimální požadavky zadavatele</w:t>
            </w:r>
          </w:p>
        </w:tc>
        <w:tc>
          <w:tcPr>
            <w:tcW w:w="1275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Počet kusů</w:t>
            </w:r>
          </w:p>
        </w:tc>
      </w:tr>
      <w:tr w:rsidR="008A070F" w:rsidRPr="0005147F" w:rsidTr="008A070F">
        <w:trPr>
          <w:trHeight w:val="70"/>
        </w:trPr>
        <w:tc>
          <w:tcPr>
            <w:tcW w:w="1858" w:type="dxa"/>
            <w:vAlign w:val="center"/>
          </w:tcPr>
          <w:p w:rsidR="008A070F" w:rsidRPr="0005147F" w:rsidRDefault="008A070F" w:rsidP="00063252">
            <w:pPr>
              <w:jc w:val="left"/>
            </w:pPr>
            <w:r>
              <w:t>Skříňka spodní</w:t>
            </w:r>
          </w:p>
        </w:tc>
        <w:tc>
          <w:tcPr>
            <w:tcW w:w="5954" w:type="dxa"/>
          </w:tcPr>
          <w:p w:rsidR="008A070F" w:rsidRDefault="008A070F" w:rsidP="004A1833">
            <w:r w:rsidRPr="00DC53A6">
              <w:rPr>
                <w:b/>
                <w:u w:val="single"/>
              </w:rPr>
              <w:t>Spodní řada skříní</w:t>
            </w:r>
            <w:r>
              <w:t>:</w:t>
            </w:r>
          </w:p>
          <w:p w:rsidR="008A070F" w:rsidRDefault="008A070F" w:rsidP="004A1833">
            <w:r>
              <w:t>šířka cca 800, výška 850, hloubka 600mm</w:t>
            </w:r>
          </w:p>
          <w:p w:rsidR="008A070F" w:rsidRDefault="008A070F" w:rsidP="004A1833">
            <w:r>
              <w:t>všechny skříně včetně soklu (cca 50mm) a včetně vyrovnávacích šroubů.</w:t>
            </w:r>
          </w:p>
          <w:p w:rsidR="008A070F" w:rsidRDefault="008A070F" w:rsidP="004A1833">
            <w:r>
              <w:t>Dvířka plná.</w:t>
            </w:r>
          </w:p>
          <w:p w:rsidR="008A070F" w:rsidRDefault="008A070F" w:rsidP="004A1833">
            <w:r>
              <w:t xml:space="preserve">Vnitřní uspořádání všech skříní musí umožňovat snadné vyndávání a </w:t>
            </w:r>
            <w:proofErr w:type="gramStart"/>
            <w:r>
              <w:t>zasouvání  plastových</w:t>
            </w:r>
            <w:proofErr w:type="gramEnd"/>
            <w:r>
              <w:t xml:space="preserve"> boxů.</w:t>
            </w:r>
          </w:p>
          <w:p w:rsidR="008A070F" w:rsidRDefault="008A070F" w:rsidP="004A1833"/>
          <w:p w:rsidR="008A070F" w:rsidRDefault="008A070F" w:rsidP="004A1833">
            <w:pPr>
              <w:pStyle w:val="Odstavecseseznamem"/>
              <w:jc w:val="left"/>
            </w:pPr>
          </w:p>
        </w:tc>
        <w:tc>
          <w:tcPr>
            <w:tcW w:w="1275" w:type="dxa"/>
            <w:vAlign w:val="center"/>
          </w:tcPr>
          <w:p w:rsidR="008A070F" w:rsidRPr="0005147F" w:rsidRDefault="008A070F" w:rsidP="008A070F">
            <w:pPr>
              <w:jc w:val="center"/>
            </w:pPr>
            <w:r>
              <w:lastRenderedPageBreak/>
              <w:t>8</w:t>
            </w:r>
          </w:p>
        </w:tc>
      </w:tr>
      <w:tr w:rsidR="008A070F" w:rsidRPr="0005147F" w:rsidTr="008A070F">
        <w:trPr>
          <w:trHeight w:val="70"/>
        </w:trPr>
        <w:tc>
          <w:tcPr>
            <w:tcW w:w="1858" w:type="dxa"/>
            <w:vAlign w:val="center"/>
          </w:tcPr>
          <w:p w:rsidR="008A070F" w:rsidRPr="0005147F" w:rsidRDefault="008A070F" w:rsidP="00063252">
            <w:pPr>
              <w:jc w:val="left"/>
            </w:pPr>
            <w:r>
              <w:lastRenderedPageBreak/>
              <w:t>Plastový box</w:t>
            </w:r>
          </w:p>
        </w:tc>
        <w:tc>
          <w:tcPr>
            <w:tcW w:w="5954" w:type="dxa"/>
          </w:tcPr>
          <w:p w:rsidR="008A070F" w:rsidRDefault="008A070F" w:rsidP="008A070F">
            <w:r>
              <w:t xml:space="preserve">šířka 360-380, </w:t>
            </w:r>
            <w:r w:rsidR="006676A4">
              <w:t>výška</w:t>
            </w:r>
            <w:r>
              <w:t xml:space="preserve"> 60-80, hloubka 500-550mm</w:t>
            </w:r>
          </w:p>
          <w:p w:rsidR="008A070F" w:rsidRPr="00395624" w:rsidRDefault="008A070F" w:rsidP="008A070F">
            <w:pPr>
              <w:pStyle w:val="Odstavecseseznamem"/>
              <w:jc w:val="left"/>
              <w:rPr>
                <w:rFonts w:ascii="Calibri" w:hAnsi="Calibri"/>
                <w:sz w:val="22"/>
                <w:lang w:eastAsia="en-US"/>
              </w:rPr>
            </w:pPr>
            <w:r w:rsidRPr="00395624">
              <w:rPr>
                <w:rFonts w:ascii="Calibri" w:hAnsi="Calibri"/>
                <w:sz w:val="22"/>
                <w:lang w:eastAsia="en-US"/>
              </w:rPr>
              <w:t xml:space="preserve">Musí být určené pro zvýšenou zátěž ( závaží, ocelové tyče a další </w:t>
            </w:r>
            <w:proofErr w:type="gramStart"/>
            <w:r w:rsidRPr="00395624">
              <w:rPr>
                <w:rFonts w:ascii="Calibri" w:hAnsi="Calibri"/>
                <w:sz w:val="22"/>
                <w:lang w:eastAsia="en-US"/>
              </w:rPr>
              <w:t>pomůcky )</w:t>
            </w:r>
            <w:proofErr w:type="gramEnd"/>
          </w:p>
          <w:p w:rsidR="008A070F" w:rsidRPr="003A2BF5" w:rsidRDefault="008A070F" w:rsidP="006676A4">
            <w:pPr>
              <w:pStyle w:val="Odstavecseseznamem"/>
              <w:jc w:val="left"/>
              <w:rPr>
                <w:b/>
                <w:sz w:val="28"/>
                <w:szCs w:val="28"/>
              </w:rPr>
            </w:pPr>
            <w:r w:rsidRPr="00DC53A6">
              <w:rPr>
                <w:b/>
              </w:rPr>
              <w:t>Vzhledem k</w:t>
            </w:r>
            <w:r>
              <w:rPr>
                <w:b/>
              </w:rPr>
              <w:t> </w:t>
            </w:r>
            <w:r w:rsidRPr="00DC53A6">
              <w:rPr>
                <w:b/>
              </w:rPr>
              <w:t>důrazu na pevnost boxů požadujeme dodat s</w:t>
            </w:r>
            <w:r>
              <w:rPr>
                <w:b/>
              </w:rPr>
              <w:t> </w:t>
            </w:r>
            <w:r w:rsidRPr="00DC53A6">
              <w:rPr>
                <w:b/>
              </w:rPr>
              <w:t>cenovou nabídkou jeden vzorek.</w:t>
            </w:r>
          </w:p>
        </w:tc>
        <w:tc>
          <w:tcPr>
            <w:tcW w:w="1275" w:type="dxa"/>
            <w:vAlign w:val="center"/>
          </w:tcPr>
          <w:p w:rsidR="008A070F" w:rsidRPr="0005147F" w:rsidRDefault="006676A4" w:rsidP="006676A4">
            <w:pPr>
              <w:jc w:val="center"/>
            </w:pPr>
            <w:r>
              <w:t>112</w:t>
            </w:r>
          </w:p>
        </w:tc>
      </w:tr>
      <w:tr w:rsidR="008A070F" w:rsidRPr="0005147F" w:rsidTr="008A070F">
        <w:trPr>
          <w:trHeight w:val="70"/>
        </w:trPr>
        <w:tc>
          <w:tcPr>
            <w:tcW w:w="1858" w:type="dxa"/>
            <w:vAlign w:val="center"/>
          </w:tcPr>
          <w:p w:rsidR="008A070F" w:rsidRPr="0005147F" w:rsidRDefault="006676A4" w:rsidP="00063252">
            <w:pPr>
              <w:jc w:val="left"/>
            </w:pPr>
            <w:r>
              <w:t>Skříňky horní</w:t>
            </w:r>
            <w:r w:rsidR="00F62E8A">
              <w:t xml:space="preserve"> 1</w:t>
            </w:r>
          </w:p>
        </w:tc>
        <w:tc>
          <w:tcPr>
            <w:tcW w:w="5954" w:type="dxa"/>
          </w:tcPr>
          <w:p w:rsidR="008A070F" w:rsidRDefault="008A070F" w:rsidP="004A1833">
            <w:r w:rsidRPr="00DC53A6">
              <w:rPr>
                <w:b/>
                <w:u w:val="single"/>
              </w:rPr>
              <w:t>Nástavné skříně:</w:t>
            </w:r>
            <w:r>
              <w:t xml:space="preserve"> </w:t>
            </w:r>
          </w:p>
          <w:p w:rsidR="008A070F" w:rsidRDefault="008A070F" w:rsidP="004A1833">
            <w:r>
              <w:t>šířka cca 800, hloubka 500, výška 1600mm.</w:t>
            </w:r>
          </w:p>
          <w:p w:rsidR="008A070F" w:rsidRDefault="008A070F" w:rsidP="004A1833">
            <w:r>
              <w:t>Dvířka všech skříněk prosklené v horní části, jedna i v dolní části.</w:t>
            </w:r>
          </w:p>
          <w:p w:rsidR="008A070F" w:rsidRDefault="008A070F" w:rsidP="004A1833">
            <w:r>
              <w:t>Všechny skříňky obsahují 5 polic, jedna (střední) může být pevná, ostatní proměnlivě umístěné.</w:t>
            </w:r>
          </w:p>
          <w:p w:rsidR="008A070F" w:rsidRDefault="008A070F" w:rsidP="004A1833">
            <w:pPr>
              <w:pStyle w:val="Odstavecseseznamem"/>
              <w:ind w:left="1440"/>
              <w:jc w:val="left"/>
            </w:pPr>
          </w:p>
        </w:tc>
        <w:tc>
          <w:tcPr>
            <w:tcW w:w="1275" w:type="dxa"/>
            <w:vAlign w:val="center"/>
          </w:tcPr>
          <w:p w:rsidR="008A070F" w:rsidRPr="0005147F" w:rsidRDefault="006676A4" w:rsidP="006676A4">
            <w:pPr>
              <w:jc w:val="center"/>
            </w:pPr>
            <w:r>
              <w:t>7</w:t>
            </w:r>
          </w:p>
        </w:tc>
      </w:tr>
      <w:tr w:rsidR="008A070F" w:rsidRPr="0005147F" w:rsidTr="008A070F">
        <w:trPr>
          <w:trHeight w:val="70"/>
        </w:trPr>
        <w:tc>
          <w:tcPr>
            <w:tcW w:w="1858" w:type="dxa"/>
            <w:vAlign w:val="center"/>
          </w:tcPr>
          <w:p w:rsidR="008A070F" w:rsidRDefault="006676A4" w:rsidP="00063252">
            <w:pPr>
              <w:jc w:val="left"/>
            </w:pPr>
            <w:r>
              <w:t>Skříňka horní</w:t>
            </w:r>
            <w:r w:rsidR="00F62E8A">
              <w:t xml:space="preserve"> 2</w:t>
            </w:r>
          </w:p>
        </w:tc>
        <w:tc>
          <w:tcPr>
            <w:tcW w:w="5954" w:type="dxa"/>
          </w:tcPr>
          <w:p w:rsidR="008A070F" w:rsidRDefault="008A070F" w:rsidP="004A1833">
            <w:r>
              <w:rPr>
                <w:b/>
                <w:u w:val="single"/>
              </w:rPr>
              <w:t>Nástavná skříň</w:t>
            </w:r>
            <w:r w:rsidRPr="00DC53A6">
              <w:rPr>
                <w:b/>
                <w:u w:val="single"/>
              </w:rPr>
              <w:t>:</w:t>
            </w:r>
            <w:r>
              <w:t xml:space="preserve"> </w:t>
            </w:r>
          </w:p>
          <w:p w:rsidR="008A070F" w:rsidRDefault="008A070F" w:rsidP="004A1833">
            <w:r>
              <w:t>šířka cca 800, hloubka 500, výška 800mm.</w:t>
            </w:r>
          </w:p>
          <w:p w:rsidR="008A070F" w:rsidRDefault="008A070F" w:rsidP="004A1833">
            <w:r>
              <w:t>Skříňka obsahuje 2 police proměnlivě umístěné.</w:t>
            </w:r>
          </w:p>
          <w:p w:rsidR="008A070F" w:rsidRDefault="008A070F" w:rsidP="004A1833">
            <w:pPr>
              <w:pStyle w:val="Odstavecseseznamem"/>
              <w:ind w:left="1440"/>
              <w:jc w:val="left"/>
            </w:pPr>
          </w:p>
        </w:tc>
        <w:tc>
          <w:tcPr>
            <w:tcW w:w="1275" w:type="dxa"/>
            <w:vAlign w:val="center"/>
          </w:tcPr>
          <w:p w:rsidR="008A070F" w:rsidRPr="0005147F" w:rsidRDefault="006676A4" w:rsidP="006676A4">
            <w:pPr>
              <w:jc w:val="center"/>
            </w:pPr>
            <w:r>
              <w:t>1</w:t>
            </w:r>
          </w:p>
        </w:tc>
      </w:tr>
    </w:tbl>
    <w:p w:rsidR="006676A4" w:rsidRDefault="006676A4" w:rsidP="006676A4">
      <w:pPr>
        <w:jc w:val="center"/>
        <w:rPr>
          <w:b/>
        </w:rPr>
      </w:pPr>
    </w:p>
    <w:p w:rsidR="006676A4" w:rsidRDefault="006676A4" w:rsidP="006676A4">
      <w:pPr>
        <w:jc w:val="center"/>
        <w:rPr>
          <w:b/>
        </w:rPr>
      </w:pPr>
      <w:r w:rsidRPr="00A252E3">
        <w:rPr>
          <w:b/>
        </w:rPr>
        <w:t xml:space="preserve">Provedení dle ilustračního nákresu – celková šířka sestavy se může </w:t>
      </w:r>
      <w:r>
        <w:rPr>
          <w:b/>
        </w:rPr>
        <w:t xml:space="preserve">mírně </w:t>
      </w:r>
      <w:r w:rsidRPr="00A252E3">
        <w:rPr>
          <w:b/>
        </w:rPr>
        <w:t>lišit v </w:t>
      </w:r>
      <w:r>
        <w:rPr>
          <w:b/>
        </w:rPr>
        <w:t>závislosti na rozměrech navržených plastových boxů</w:t>
      </w:r>
      <w:r w:rsidRPr="00A252E3">
        <w:rPr>
          <w:b/>
        </w:rPr>
        <w:t>.</w:t>
      </w:r>
    </w:p>
    <w:p w:rsidR="006676A4" w:rsidRPr="00A252E3" w:rsidRDefault="006676A4" w:rsidP="006676A4">
      <w:pPr>
        <w:jc w:val="center"/>
        <w:rPr>
          <w:b/>
        </w:rPr>
      </w:pPr>
    </w:p>
    <w:p w:rsidR="006676A4" w:rsidRDefault="006676A4" w:rsidP="006676A4">
      <w:r w:rsidRPr="00AA7BFC">
        <w:rPr>
          <w:b/>
          <w:u w:val="single"/>
        </w:rPr>
        <w:t>Materiál:</w:t>
      </w:r>
      <w:r>
        <w:t xml:space="preserve"> Skříně lamino deska 18mm, dezén dřevo (nejlépe buk). Vyznačené části lamino UNI (nejlépe barva modrá).</w:t>
      </w:r>
    </w:p>
    <w:p w:rsidR="006676A4" w:rsidRDefault="006676A4" w:rsidP="006676A4">
      <w:r>
        <w:t>Veškerá prosklená dvířka musí mít sklo v rámu LTD.</w:t>
      </w:r>
    </w:p>
    <w:p w:rsidR="006676A4" w:rsidRDefault="006676A4" w:rsidP="006676A4">
      <w:r>
        <w:t xml:space="preserve">Všechna dvířka musí mít zámky na otevírání </w:t>
      </w:r>
      <w:r w:rsidRPr="00674EF4">
        <w:rPr>
          <w:b/>
        </w:rPr>
        <w:t>jedním klíčem</w:t>
      </w:r>
      <w:r>
        <w:rPr>
          <w:b/>
        </w:rPr>
        <w:t>,</w:t>
      </w:r>
      <w:r w:rsidRPr="00674EF4">
        <w:t xml:space="preserve"> součástí dodávky je 8</w:t>
      </w:r>
      <w:r>
        <w:t xml:space="preserve"> </w:t>
      </w:r>
      <w:r w:rsidRPr="00674EF4">
        <w:t>ks klíčů.</w:t>
      </w:r>
    </w:p>
    <w:p w:rsidR="006676A4" w:rsidRDefault="006676A4" w:rsidP="006676A4">
      <w:r>
        <w:t>Úchyty dvířek kovové.</w:t>
      </w:r>
    </w:p>
    <w:p w:rsidR="006676A4" w:rsidRDefault="006676A4" w:rsidP="006676A4">
      <w:r>
        <w:t>Všechny skříně musí být pospojované horizontálně i vertikálně a musí být vyrovnané do roviny.</w:t>
      </w:r>
    </w:p>
    <w:p w:rsidR="006676A4" w:rsidRDefault="006676A4" w:rsidP="006676A4">
      <w:r>
        <w:t>Policové podpěrky musí být osazené trny proti vysunutí polic.</w:t>
      </w:r>
    </w:p>
    <w:p w:rsidR="006676A4" w:rsidRDefault="006676A4" w:rsidP="006676A4">
      <w:r>
        <w:t>Součástí dodávky je i doprava, stěhování do 2.</w:t>
      </w:r>
      <w:r w:rsidR="00EF050F">
        <w:t xml:space="preserve"> </w:t>
      </w:r>
      <w:r>
        <w:t xml:space="preserve">patra a montáž. </w:t>
      </w:r>
    </w:p>
    <w:p w:rsidR="00E122E5" w:rsidRDefault="00E122E5" w:rsidP="00345848"/>
    <w:p w:rsidR="006676A4" w:rsidRDefault="00E122E5" w:rsidP="00345848">
      <w:r>
        <w:t>Předpokládaná hodnota předmětu veřejné zakázky činí</w:t>
      </w:r>
      <w:r w:rsidR="006676A4">
        <w:t>:</w:t>
      </w:r>
    </w:p>
    <w:p w:rsidR="00E122E5" w:rsidRDefault="00E122E5" w:rsidP="00345848">
      <w:r>
        <w:t xml:space="preserve"> </w:t>
      </w:r>
      <w:r w:rsidR="006676A4" w:rsidRPr="006676A4">
        <w:rPr>
          <w:rStyle w:val="Doporuen"/>
          <w:color w:val="auto"/>
          <w:u w:val="none"/>
        </w:rPr>
        <w:t>123 967,00</w:t>
      </w:r>
      <w:r>
        <w:t xml:space="preserve"> Kč bez DPH (</w:t>
      </w:r>
      <w:r w:rsidR="006676A4">
        <w:rPr>
          <w:rStyle w:val="Doporuen"/>
          <w:color w:val="auto"/>
          <w:u w:val="none"/>
        </w:rPr>
        <w:t xml:space="preserve">150 000,00 </w:t>
      </w:r>
      <w:r>
        <w:t>Kč vč. DPH).</w:t>
      </w:r>
    </w:p>
    <w:p w:rsidR="00E122E5" w:rsidRDefault="00E122E5" w:rsidP="00C05A96"/>
    <w:p w:rsidR="006676A4" w:rsidRDefault="006676A4" w:rsidP="00C05A96"/>
    <w:p w:rsidR="00E122E5" w:rsidRPr="007217AB" w:rsidRDefault="00E122E5" w:rsidP="00345848">
      <w:pPr>
        <w:rPr>
          <w:b/>
        </w:rPr>
      </w:pPr>
      <w:r w:rsidRPr="007217AB">
        <w:rPr>
          <w:b/>
        </w:rPr>
        <w:t>2.2 Další požadavky zadavatele</w:t>
      </w:r>
    </w:p>
    <w:p w:rsidR="00E122E5" w:rsidRDefault="00E122E5" w:rsidP="00345848"/>
    <w:p w:rsidR="00E122E5" w:rsidRDefault="00E122E5" w:rsidP="00345848">
      <w:r>
        <w:t>Uchazeč je povinen předložit čestné prohlášení uchazeče, že subjekt předkládající nabídku se nepodílel na přípravě nebo zadání předmětného výběrového řízení.</w:t>
      </w:r>
    </w:p>
    <w:p w:rsidR="00E122E5" w:rsidRDefault="00E122E5" w:rsidP="00C05A96"/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</w:p>
    <w:p w:rsidR="00E122E5" w:rsidRDefault="00E122E5" w:rsidP="00C05A96"/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F62E8A" w:rsidP="007645F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03/2014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EC6803" w:rsidP="007645F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30</w:t>
            </w:r>
            <w:r w:rsidR="00F62E8A">
              <w:rPr>
                <w:rStyle w:val="Doporuen"/>
                <w:color w:val="auto"/>
                <w:u w:val="none"/>
              </w:rPr>
              <w:t>. 4. 2014</w:t>
            </w:r>
          </w:p>
        </w:tc>
      </w:tr>
    </w:tbl>
    <w:p w:rsidR="00E122E5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lastRenderedPageBreak/>
        <w:t>Prohlídka místa plnění a dotazy k zadávací dokumentaci</w:t>
      </w:r>
      <w:bookmarkEnd w:id="5"/>
    </w:p>
    <w:p w:rsidR="00F62E8A" w:rsidRDefault="00F62E8A" w:rsidP="00F62E8A"/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F62E8A" w:rsidRPr="00F62E8A" w:rsidRDefault="00F62E8A" w:rsidP="00F62E8A">
      <w:r>
        <w:t>Zadavatel umožní prohlídku místa plnění po předchozí domluvě s kontaktní osobou uvedenou v bodě 1. této výzvy.</w:t>
      </w:r>
    </w:p>
    <w:p w:rsidR="00E122E5" w:rsidRDefault="00E122E5" w:rsidP="00C05A96"/>
    <w:p w:rsidR="00E122E5" w:rsidRDefault="00E122E5" w:rsidP="00202E7A">
      <w:pPr>
        <w:tabs>
          <w:tab w:val="left" w:pos="720"/>
        </w:tabs>
      </w:pPr>
    </w:p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Default="00E122E5" w:rsidP="00202E7A">
      <w:pPr>
        <w:widowControl w:val="0"/>
        <w:autoSpaceDE w:val="0"/>
        <w:autoSpaceDN w:val="0"/>
        <w:adjustRightInd w:val="0"/>
        <w:spacing w:line="273" w:lineRule="atLeast"/>
      </w:pP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BE4F65" w:rsidRDefault="00E122E5" w:rsidP="00BE4F65">
      <w:pPr>
        <w:spacing w:line="240" w:lineRule="atLeast"/>
        <w:rPr>
          <w:szCs w:val="24"/>
        </w:rPr>
      </w:pPr>
      <w:r w:rsidRPr="00BE4F65">
        <w:rPr>
          <w:szCs w:val="24"/>
        </w:rPr>
        <w:t>dle zákona č. 137/2006 Sb., o veřejných zakázkách, ve znění pozdějších předpisů (dále jen „zákon“)</w:t>
      </w:r>
    </w:p>
    <w:p w:rsidR="00E122E5" w:rsidRPr="00BE4F65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>6.1 Základní kvalifikační předpoklady splňuje dodavatel 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F62E8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E122E5" w:rsidRPr="00BE4F65" w:rsidRDefault="00E122E5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>6.2 Profesní kvalifikační předpoklady podle § 54 zákona</w:t>
      </w: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C05A96">
        <w:t>Způsob zpracování nabídkové ceny</w:t>
      </w:r>
      <w:bookmarkEnd w:id="7"/>
    </w:p>
    <w:p w:rsidR="00E122E5" w:rsidRDefault="00E122E5" w:rsidP="00C05A96"/>
    <w:p w:rsidR="00E122E5" w:rsidRDefault="00E122E5" w:rsidP="00BE4F65">
      <w:r>
        <w:t xml:space="preserve">Uchazeč stanoví nabídkovou cenu jako celkovou cenu za celé plnění veřejné zakázky včetně všech souvisejících činností. V této ceně musí být zahrnuty veškeré náklady nezbytné k plnění veřejné zakázky a tato cena bude stanovena jako „cena nejvýše přípustná“. </w:t>
      </w:r>
    </w:p>
    <w:p w:rsidR="00E122E5" w:rsidRDefault="00E122E5" w:rsidP="00BE4F65"/>
    <w:p w:rsidR="00E122E5" w:rsidRDefault="00E122E5" w:rsidP="00BE4F65">
      <w:r>
        <w:t xml:space="preserve">Uchazeč předloží jako přílohu nabídky </w:t>
      </w:r>
      <w:r w:rsidRPr="005372F0">
        <w:rPr>
          <w:b/>
        </w:rPr>
        <w:t>detailní rozpis ceny dle jednotlivých položek</w:t>
      </w:r>
      <w:r>
        <w:t xml:space="preserve">, uvedených v předmětu plnění. U každé položky uchazeč uvede cenu za kus v Kč bez DPH, cenu za kus s DPH a dále uvede celkovou cenu vč. DPH, a to v rozsahu níže uvedené tabulky </w:t>
      </w:r>
      <w:r>
        <w:lastRenderedPageBreak/>
        <w:t>(</w:t>
      </w:r>
      <w:r w:rsidRPr="009E7E6A">
        <w:rPr>
          <w:b/>
        </w:rPr>
        <w:t>tato tabulka bude přílohou č. 1 kupní smlouvy</w:t>
      </w:r>
      <w:r>
        <w:t>). Nabízené zboží musí být neinvestičního charakteru.</w:t>
      </w:r>
    </w:p>
    <w:p w:rsidR="00E122E5" w:rsidRDefault="00E122E5" w:rsidP="00C05A96"/>
    <w:p w:rsidR="00E122E5" w:rsidRDefault="00E122E5" w:rsidP="00BE4F65">
      <w:r>
        <w:t>Uchazeč odpovídá za úplnost specifikace veškerých činností souvisejících s plněním předmětu této veřejné zakázky při zpracování nabídkové ceny.</w:t>
      </w:r>
    </w:p>
    <w:p w:rsidR="00E122E5" w:rsidRDefault="00E122E5" w:rsidP="00BE4F65"/>
    <w:p w:rsidR="00E122E5" w:rsidRPr="005372F0" w:rsidRDefault="00E122E5" w:rsidP="00BE4F65">
      <w:pPr>
        <w:rPr>
          <w:b/>
        </w:rPr>
      </w:pPr>
      <w:r>
        <w:t xml:space="preserve">Celková nabídková cena bude uvedena v Kč a to v členění – nabídková cena bez daně z přidané hodnoty (DPH), samostatně DPH s příslušnou sazbou a nabídková cena včetně DPH. </w:t>
      </w:r>
      <w:r w:rsidRPr="009E7E6A">
        <w:rPr>
          <w:b/>
        </w:rPr>
        <w:t>Celková n</w:t>
      </w:r>
      <w:r w:rsidRPr="005372F0">
        <w:rPr>
          <w:b/>
        </w:rPr>
        <w:t>abídková cena v tomto členění bude uvedena na krycím listu nabídky.</w:t>
      </w:r>
    </w:p>
    <w:p w:rsidR="00E122E5" w:rsidRDefault="00E122E5" w:rsidP="00BE4F65"/>
    <w:p w:rsidR="00E122E5" w:rsidRPr="006676A4" w:rsidRDefault="00E122E5" w:rsidP="00BE4F65">
      <w:pPr>
        <w:rPr>
          <w:rStyle w:val="Doporuen"/>
          <w:b/>
          <w:color w:val="auto"/>
          <w:u w:val="none"/>
        </w:rPr>
      </w:pPr>
      <w:r w:rsidRPr="006676A4">
        <w:rPr>
          <w:rStyle w:val="Doporuen"/>
          <w:b/>
          <w:color w:val="auto"/>
          <w:u w:val="none"/>
        </w:rPr>
        <w:t xml:space="preserve">Nabídková cena nesmí překročit částku </w:t>
      </w:r>
      <w:r w:rsidR="006676A4">
        <w:rPr>
          <w:rStyle w:val="Doporuen"/>
          <w:b/>
          <w:color w:val="auto"/>
          <w:u w:val="none"/>
        </w:rPr>
        <w:t>150 000,00</w:t>
      </w:r>
      <w:r w:rsidRPr="006676A4">
        <w:rPr>
          <w:rStyle w:val="Doporuen"/>
          <w:b/>
          <w:color w:val="auto"/>
          <w:u w:val="none"/>
        </w:rPr>
        <w:t xml:space="preserve"> Kč včetně DPH.</w:t>
      </w:r>
    </w:p>
    <w:p w:rsidR="00E122E5" w:rsidRPr="006676A4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C05A96">
        <w:t>Platební podmínky</w:t>
      </w:r>
      <w:bookmarkEnd w:id="8"/>
    </w:p>
    <w:p w:rsidR="00E122E5" w:rsidRDefault="00E122E5" w:rsidP="00BE4F65"/>
    <w:p w:rsidR="00E122E5" w:rsidRDefault="00E122E5" w:rsidP="00BE4F65">
      <w:r>
        <w:t xml:space="preserve">Zálohy zadavatel neposkytuje. </w:t>
      </w:r>
      <w:r w:rsidRPr="00BE4F65">
        <w:rPr>
          <w:szCs w:val="20"/>
        </w:rPr>
        <w:t xml:space="preserve">Zadavatel se zavazuje uhradit fakturu ve lhůtě splatnosti stanovené dodavatelem, minimálně </w:t>
      </w:r>
      <w:r w:rsidRPr="00012748">
        <w:t xml:space="preserve">však </w:t>
      </w:r>
      <w:r w:rsidR="00C9609D" w:rsidRPr="00C9609D">
        <w:rPr>
          <w:rStyle w:val="Doporuen"/>
          <w:color w:val="auto"/>
          <w:u w:val="none"/>
        </w:rPr>
        <w:t>20</w:t>
      </w:r>
      <w:r w:rsidRPr="00C9609D">
        <w:rPr>
          <w:rStyle w:val="Doporuen"/>
          <w:color w:val="auto"/>
          <w:u w:val="none"/>
        </w:rPr>
        <w:t xml:space="preserve"> dnů</w:t>
      </w:r>
      <w:r w:rsidRPr="00BE4F65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85040F">
        <w:t>Faktura musí obsahovat všechny náležitosti řádného daňového a účetního dokladu ve smyslu příslušných předpisů.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C05A96">
        <w:t>Hodnotící kritéria</w:t>
      </w:r>
      <w:bookmarkEnd w:id="9"/>
    </w:p>
    <w:p w:rsidR="00E122E5" w:rsidRDefault="00E122E5" w:rsidP="00C05A96"/>
    <w:p w:rsidR="00E122E5" w:rsidRPr="00BE4F65" w:rsidRDefault="00E122E5" w:rsidP="00C05A96">
      <w:pPr>
        <w:rPr>
          <w:bCs/>
        </w:rPr>
      </w:pPr>
      <w:r>
        <w:t xml:space="preserve">Základním kritériem pro zadání veřejné zakázky je dle ustanovení § 78 odst. 1 písm. b) zákona </w:t>
      </w:r>
      <w:r w:rsidRPr="007C3934">
        <w:rPr>
          <w:b/>
        </w:rPr>
        <w:t xml:space="preserve">nejnižší nabídková cena. </w:t>
      </w:r>
      <w:r w:rsidRPr="009802C4">
        <w:t xml:space="preserve">Hodnocena bude </w:t>
      </w:r>
      <w:r w:rsidRPr="007C3934">
        <w:rPr>
          <w:bCs/>
        </w:rPr>
        <w:t xml:space="preserve">celková výše nabídkové ceny </w:t>
      </w:r>
      <w:r>
        <w:rPr>
          <w:bCs/>
        </w:rPr>
        <w:t>bez</w:t>
      </w:r>
      <w:r w:rsidRPr="007C3934">
        <w:rPr>
          <w:bCs/>
        </w:rPr>
        <w:t xml:space="preserve"> DPH.</w:t>
      </w:r>
      <w:r>
        <w:rPr>
          <w:bCs/>
        </w:rPr>
        <w:t xml:space="preserve"> </w:t>
      </w:r>
      <w:r w:rsidRPr="007C3934">
        <w:rPr>
          <w:bCs/>
        </w:rPr>
        <w:t>V</w:t>
      </w:r>
      <w:r>
        <w:t>ýše nabídkové ceny je konečná a nelze ji překročit.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C05A96">
        <w:t>Obchodní podmínky</w:t>
      </w:r>
      <w:bookmarkEnd w:id="10"/>
    </w:p>
    <w:p w:rsidR="00E122E5" w:rsidRDefault="00E122E5" w:rsidP="00C05A96"/>
    <w:p w:rsidR="00C9609D" w:rsidRDefault="00E122E5" w:rsidP="00BE4F65">
      <w:r w:rsidRPr="00A92AA3">
        <w:t xml:space="preserve">Součástí nabídky </w:t>
      </w:r>
      <w:r>
        <w:t>musí být</w:t>
      </w:r>
      <w:r w:rsidRPr="00A92AA3">
        <w:t xml:space="preserve">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C9609D" w:rsidRDefault="00E122E5" w:rsidP="00BE4F65">
      <w:pPr>
        <w:rPr>
          <w:rStyle w:val="Doporuen"/>
          <w:color w:val="auto"/>
          <w:u w:val="none"/>
        </w:rPr>
      </w:pPr>
      <w:r w:rsidRPr="00C9609D">
        <w:rPr>
          <w:rStyle w:val="Doporuen"/>
          <w:color w:val="auto"/>
          <w:u w:val="none"/>
        </w:rPr>
        <w:t xml:space="preserve">Závazný návrh „Kupní smlouvy“ je přílohou </w:t>
      </w:r>
      <w:proofErr w:type="gramStart"/>
      <w:r w:rsidRPr="00C9609D">
        <w:rPr>
          <w:rStyle w:val="Doporuen"/>
          <w:color w:val="auto"/>
          <w:u w:val="none"/>
        </w:rPr>
        <w:t xml:space="preserve">č. </w:t>
      </w:r>
      <w:r w:rsidR="00C9609D" w:rsidRPr="00C9609D">
        <w:rPr>
          <w:rStyle w:val="Doporuen"/>
          <w:color w:val="auto"/>
          <w:u w:val="none"/>
        </w:rPr>
        <w:t>3</w:t>
      </w:r>
      <w:r w:rsidRPr="00C9609D">
        <w:rPr>
          <w:rStyle w:val="Doporuen"/>
          <w:color w:val="auto"/>
          <w:u w:val="none"/>
        </w:rPr>
        <w:t xml:space="preserve"> textu</w:t>
      </w:r>
      <w:proofErr w:type="gramEnd"/>
      <w:r w:rsidRPr="00C9609D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Default="00E122E5" w:rsidP="00BE4F65"/>
    <w:p w:rsidR="00E122E5" w:rsidRPr="00BE4F65" w:rsidRDefault="00E122E5" w:rsidP="00BE4F65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>
        <w:rPr>
          <w:b w:val="0"/>
          <w:bCs/>
          <w:i w:val="0"/>
          <w:iCs/>
          <w:sz w:val="24"/>
          <w:szCs w:val="24"/>
          <w:u w:val="none"/>
        </w:rPr>
        <w:t>Předložení nepodepsaného textu smlouvy není předložením návrhu smlouvy, nabídka uchazeče se tak stává neúplnou a zadavatel vyloučí takového uchazeče z další účasti v zadávacím řízení.</w:t>
      </w:r>
    </w:p>
    <w:p w:rsidR="00E122E5" w:rsidRPr="00C05A96" w:rsidRDefault="00E122E5" w:rsidP="00C05A96"/>
    <w:p w:rsidR="00E122E5" w:rsidRPr="00BE4F6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1" w:name="_Toc327795741"/>
      <w:r w:rsidRPr="00C05A96">
        <w:t>Členění nabídky</w:t>
      </w:r>
      <w:bookmarkEnd w:id="11"/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bookmarkStart w:id="12" w:name="_GoBack"/>
      <w:bookmarkEnd w:id="12"/>
      <w:r w:rsidRPr="00BE4F65">
        <w:rPr>
          <w:b/>
        </w:rPr>
        <w:lastRenderedPageBreak/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Pr="00C05A96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návrh kupní smlouvy je přílohou č. </w:t>
      </w:r>
      <w:r w:rsidR="00C9609D">
        <w:t>3</w:t>
      </w:r>
      <w:r>
        <w:t xml:space="preserve"> této ZD)</w:t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>Lhůta a místo pro podání nabídek</w:t>
      </w:r>
      <w:bookmarkEnd w:id="13"/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EC6803" w:rsidP="00EC6803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11</w:t>
            </w:r>
            <w:r w:rsidR="00F62E8A">
              <w:rPr>
                <w:rStyle w:val="Doporuen"/>
                <w:color w:val="auto"/>
              </w:rPr>
              <w:t>. 0</w:t>
            </w:r>
            <w:r>
              <w:rPr>
                <w:rStyle w:val="Doporuen"/>
                <w:color w:val="auto"/>
              </w:rPr>
              <w:t>4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C9609D" w:rsidRPr="00C9609D">
              <w:rPr>
                <w:rStyle w:val="Doporuen"/>
                <w:color w:val="auto"/>
              </w:rPr>
              <w:t>2014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t>Pokyny pro zpracování nabídky</w:t>
      </w:r>
      <w:bookmarkEnd w:id="15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„</w:t>
      </w:r>
      <w:r w:rsidR="00C9609D">
        <w:rPr>
          <w:b/>
          <w:bCs/>
        </w:rPr>
        <w:t>Vybavení fyzikální laboratoře“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t>Další podmínky a vyhrazená</w:t>
      </w:r>
      <w:r>
        <w:t xml:space="preserve"> práva zadavatele</w:t>
      </w:r>
      <w:bookmarkEnd w:id="16"/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lastRenderedPageBreak/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E122E5" w:rsidRDefault="00C9609D" w:rsidP="00BE4F65">
      <w:r>
        <w:t xml:space="preserve">V Liberci dne </w:t>
      </w:r>
      <w:r w:rsidR="00EC6803">
        <w:t>24</w:t>
      </w:r>
      <w:r>
        <w:t xml:space="preserve">. </w:t>
      </w:r>
      <w:r w:rsidR="00F62E8A">
        <w:t>března</w:t>
      </w:r>
      <w:r>
        <w:t xml:space="preserve"> 2014</w:t>
      </w:r>
    </w:p>
    <w:p w:rsidR="00F62E8A" w:rsidRDefault="00F62E8A" w:rsidP="00BE4F65"/>
    <w:p w:rsidR="00F62E8A" w:rsidRDefault="00F62E8A" w:rsidP="00BE4F65"/>
    <w:p w:rsidR="00E122E5" w:rsidRDefault="00C9609D" w:rsidP="00012748">
      <w:pPr>
        <w:ind w:left="3960"/>
        <w:jc w:val="center"/>
        <w:rPr>
          <w:rStyle w:val="Doporuen"/>
          <w:color w:val="auto"/>
          <w:u w:val="none"/>
        </w:rPr>
      </w:pPr>
      <w:r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97A6C"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EB" w:rsidRDefault="00AF1DEB">
      <w:r>
        <w:separator/>
      </w:r>
    </w:p>
  </w:endnote>
  <w:endnote w:type="continuationSeparator" w:id="0">
    <w:p w:rsidR="00AF1DEB" w:rsidRDefault="00A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EC6803">
      <w:rPr>
        <w:rStyle w:val="slostrnky"/>
        <w:noProof/>
        <w:sz w:val="20"/>
        <w:szCs w:val="20"/>
      </w:rPr>
      <w:t>1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EC6803">
      <w:rPr>
        <w:rStyle w:val="slostrnky"/>
        <w:noProof/>
        <w:sz w:val="20"/>
        <w:szCs w:val="20"/>
      </w:rPr>
      <w:t>8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EB" w:rsidRDefault="00AF1DEB">
      <w:r>
        <w:separator/>
      </w:r>
    </w:p>
  </w:footnote>
  <w:footnote w:type="continuationSeparator" w:id="0">
    <w:p w:rsidR="00AF1DEB" w:rsidRDefault="00AF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CA03A5"/>
    <w:multiLevelType w:val="hybridMultilevel"/>
    <w:tmpl w:val="22FA3344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1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5"/>
  </w:num>
  <w:num w:numId="6">
    <w:abstractNumId w:val="18"/>
  </w:num>
  <w:num w:numId="7">
    <w:abstractNumId w:val="11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96"/>
    <w:rsid w:val="00012748"/>
    <w:rsid w:val="000213C6"/>
    <w:rsid w:val="0005147F"/>
    <w:rsid w:val="00063252"/>
    <w:rsid w:val="00094194"/>
    <w:rsid w:val="000E1983"/>
    <w:rsid w:val="00100933"/>
    <w:rsid w:val="001951C0"/>
    <w:rsid w:val="00197A6C"/>
    <w:rsid w:val="001A53AF"/>
    <w:rsid w:val="00202E7A"/>
    <w:rsid w:val="0024344F"/>
    <w:rsid w:val="00244154"/>
    <w:rsid w:val="0025299E"/>
    <w:rsid w:val="002627ED"/>
    <w:rsid w:val="002A0A50"/>
    <w:rsid w:val="003138CF"/>
    <w:rsid w:val="003143D2"/>
    <w:rsid w:val="00345848"/>
    <w:rsid w:val="00373930"/>
    <w:rsid w:val="003C52EF"/>
    <w:rsid w:val="00410499"/>
    <w:rsid w:val="00475FDA"/>
    <w:rsid w:val="005372F0"/>
    <w:rsid w:val="0054796E"/>
    <w:rsid w:val="00547D5E"/>
    <w:rsid w:val="006676A4"/>
    <w:rsid w:val="006874C3"/>
    <w:rsid w:val="007217AB"/>
    <w:rsid w:val="00722C46"/>
    <w:rsid w:val="00754575"/>
    <w:rsid w:val="007645F9"/>
    <w:rsid w:val="007C3934"/>
    <w:rsid w:val="00824878"/>
    <w:rsid w:val="0085040F"/>
    <w:rsid w:val="008A070F"/>
    <w:rsid w:val="008B4789"/>
    <w:rsid w:val="008F49BE"/>
    <w:rsid w:val="00907B3E"/>
    <w:rsid w:val="009802C4"/>
    <w:rsid w:val="009D7E2E"/>
    <w:rsid w:val="009E7E6A"/>
    <w:rsid w:val="00A10819"/>
    <w:rsid w:val="00A6602E"/>
    <w:rsid w:val="00A74DB8"/>
    <w:rsid w:val="00A77A87"/>
    <w:rsid w:val="00A92AA3"/>
    <w:rsid w:val="00AC458D"/>
    <w:rsid w:val="00AF1DEB"/>
    <w:rsid w:val="00B24062"/>
    <w:rsid w:val="00BE4F65"/>
    <w:rsid w:val="00C05A96"/>
    <w:rsid w:val="00C9609D"/>
    <w:rsid w:val="00E02F83"/>
    <w:rsid w:val="00E122E5"/>
    <w:rsid w:val="00E4699F"/>
    <w:rsid w:val="00E777DD"/>
    <w:rsid w:val="00EA0DDE"/>
    <w:rsid w:val="00EC6803"/>
    <w:rsid w:val="00EF050F"/>
    <w:rsid w:val="00F0779A"/>
    <w:rsid w:val="00F15F9A"/>
    <w:rsid w:val="00F62E8A"/>
    <w:rsid w:val="00F71E5F"/>
    <w:rsid w:val="00F8618F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simune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005F-0128-482A-9864-85CC882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303</TotalTime>
  <Pages>1</Pages>
  <Words>2464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Křeček</dc:creator>
  <cp:keywords/>
  <dc:description/>
  <cp:lastModifiedBy>vv</cp:lastModifiedBy>
  <cp:revision>18</cp:revision>
  <cp:lastPrinted>2014-03-24T07:55:00Z</cp:lastPrinted>
  <dcterms:created xsi:type="dcterms:W3CDTF">2012-06-18T13:01:00Z</dcterms:created>
  <dcterms:modified xsi:type="dcterms:W3CDTF">2014-03-24T09:14:00Z</dcterms:modified>
</cp:coreProperties>
</file>